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jc w:val="center"/>
        <w:rPr>
          <w:rFonts w:ascii="Arial" w:cs="Arial" w:hAnsi="Arial"/>
          <w:b/>
          <w:bCs/>
          <w:color w:val="ffffff" w:themeColor="lt1"/>
          <w:sz w:val="60"/>
          <w:szCs w:val="60"/>
          <w:u w:val="single"/>
        </w:rPr>
      </w:pPr>
      <w:r>
        <w:rPr>
          <w:rFonts w:ascii="Forte" w:hAnsi="Forte"/>
          <w:color w:val="ffffff" w:themeColor="lt1"/>
          <w:sz w:val="40"/>
          <w:szCs w:val="40"/>
          <w:lang w:val="en-GB"/>
        </w:rPr>
        <w:drawing xmlns:mc="http://schemas.openxmlformats.org/markup-compatibility/2006">
          <wp:anchor allowOverlap="1" behindDoc="1" distT="0" distB="0" distL="118872" distR="118872" layoutInCell="1" locked="0" relativeHeight="503314435" simplePos="0">
            <wp:simplePos x="0" y="0"/>
            <wp:positionH relativeFrom="margin">
              <wp:posOffset>-597535</wp:posOffset>
            </wp:positionH>
            <wp:positionV relativeFrom="margin">
              <wp:posOffset>-608965</wp:posOffset>
            </wp:positionV>
            <wp:extent cx="6928485" cy="100907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9"/>
                    <a:srcRect/>
                    <a:stretch>
                      <a:fillRect/>
                    </a:stretch>
                  </pic:blipFill>
                  <pic:spPr>
                    <a:xfrm>
                      <a:off x="0" y="0"/>
                      <a:ext cx="6928485" cy="10090785"/>
                    </a:xfrm>
                    <a:prstGeom prst="rect">
                      <a:avLst/>
                    </a:prstGeom>
                  </pic:spPr>
                </pic:pic>
              </a:graphicData>
            </a:graphic>
          </wp:anchor>
        </w:drawing>
      </w:r>
      <w:r>
        <w:rPr>
          <w:rFonts w:ascii="Forte" w:hAnsi="Forte"/>
          <w:color w:val="ffffff" w:themeColor="lt1"/>
          <w:sz w:val="40"/>
          <w:szCs w:val="40"/>
          <w:lang w:val="en-GB"/>
        </w:rPr>
        <w:t xml:space="preserve">   </w:t>
      </w:r>
      <w:r>
        <w:rPr>
          <w:rFonts w:ascii="Arial" w:cs="Arial" w:hAnsi="Arial"/>
          <w:b/>
          <w:bCs/>
          <w:color w:val="ffffff" w:themeColor="lt1"/>
          <w:sz w:val="40"/>
          <w:szCs w:val="40"/>
          <w:u w:val="single"/>
          <w:lang w:val="en-GB"/>
        </w:rPr>
        <w:t>SEND dance workshops</w:t>
      </w:r>
    </w:p>
    <w:p w14:paraId="00000002">
      <w:pPr>
        <w:jc w:val="center"/>
        <w:rPr>
          <w:rFonts w:ascii="Arial" w:cs="Arial" w:hAnsi="Arial"/>
          <w:b/>
          <w:bCs/>
          <w:color w:val="ffffff" w:themeColor="lt1"/>
          <w:sz w:val="60"/>
          <w:szCs w:val="60"/>
          <w:u w:val="single"/>
        </w:rPr>
      </w:pPr>
    </w:p>
    <w:p w14:paraId="00000003">
      <w:pPr>
        <w:jc w:val="center"/>
        <w:rPr>
          <w:rFonts w:ascii="Arial" w:cs="Arial" w:hAnsi="Arial"/>
          <w:color w:val="ffffff" w:themeColor="lt1"/>
          <w:sz w:val="28"/>
          <w:szCs w:val="28"/>
        </w:rPr>
      </w:pPr>
      <w:r>
        <w:rPr>
          <w:rFonts w:ascii="Arial" w:cs="Arial" w:hAnsi="Arial"/>
          <w:color w:val="ffffff" w:themeColor="lt1"/>
          <w:sz w:val="28"/>
          <w:szCs w:val="28"/>
          <w:lang w:val="en-GB"/>
        </w:rPr>
        <w:t>Our effective SEND-A-PERFORMER workshops are structured, consistent and inclusive, they prioritise safety, comfort and creative expression. In the dance part of our SEND performing workshop we look at key elements including starting and ending with a familiar routine, using sensory props and incorporating Makaton signing to support communication.</w:t>
      </w:r>
    </w:p>
    <w:p w14:paraId="00000004">
      <w:pPr>
        <w:jc w:val="center"/>
        <w:rPr>
          <w:rFonts w:ascii="Arial" w:cs="Arial" w:hAnsi="Arial"/>
          <w:b/>
          <w:bCs/>
          <w:color w:val="ffffff" w:themeColor="lt1"/>
          <w:sz w:val="28"/>
          <w:szCs w:val="28"/>
          <w:u w:val="single"/>
        </w:rPr>
      </w:pPr>
      <w:r>
        <w:rPr>
          <w:rFonts w:ascii="Arial" w:cs="Arial" w:hAnsi="Arial"/>
          <w:b/>
          <w:bCs/>
          <w:color w:val="ffffff" w:themeColor="lt1"/>
          <w:sz w:val="28"/>
          <w:szCs w:val="28"/>
          <w:u w:val="single"/>
          <w:lang w:val="en-GB"/>
        </w:rPr>
        <w:t>Consistent Structure</w:t>
      </w:r>
    </w:p>
    <w:p w14:paraId="00000005">
      <w:pPr>
        <w:numPr>
          <w:ilvl w:val="0"/>
          <w:numId w:val="2"/>
        </w:numPr>
        <w:jc w:val="center"/>
        <w:rPr>
          <w:rFonts w:ascii="Arial" w:cs="Arial" w:hAnsi="Arial"/>
          <w:color w:val="ffffff" w:themeColor="lt1"/>
          <w:sz w:val="28"/>
          <w:szCs w:val="28"/>
        </w:rPr>
      </w:pPr>
      <w:r>
        <w:rPr>
          <w:rFonts w:ascii="Arial" w:cs="Arial" w:hAnsi="Arial"/>
          <w:b/>
          <w:bCs/>
          <w:color w:val="ffffff" w:themeColor="lt1"/>
          <w:sz w:val="28"/>
          <w:szCs w:val="28"/>
          <w:u w:val="single"/>
          <w:lang w:val="en-GB"/>
        </w:rPr>
        <w:t>The welcome</w:t>
      </w:r>
      <w:r>
        <w:rPr>
          <w:rFonts w:ascii="Arial" w:cs="Arial" w:hAnsi="Arial"/>
          <w:color w:val="ffffff" w:themeColor="lt1"/>
          <w:sz w:val="28"/>
          <w:szCs w:val="28"/>
          <w:lang w:val="en-GB"/>
        </w:rPr>
        <w:t>- 5-10 mins to get everyone feeling safe and used to the space and to explain what we are doing to help with transitions.</w:t>
      </w:r>
    </w:p>
    <w:p w14:paraId="00000006">
      <w:pPr>
        <w:numPr>
          <w:ilvl w:val="0"/>
          <w:numId w:val="2"/>
        </w:numPr>
        <w:jc w:val="center"/>
        <w:rPr>
          <w:rFonts w:ascii="Arial" w:cs="Arial" w:hAnsi="Arial"/>
          <w:color w:val="ffffff" w:themeColor="lt1"/>
          <w:sz w:val="28"/>
          <w:szCs w:val="28"/>
        </w:rPr>
      </w:pPr>
      <w:r>
        <w:rPr>
          <w:rFonts w:ascii="Arial" w:cs="Arial" w:hAnsi="Arial"/>
          <w:b/>
          <w:bCs/>
          <w:color w:val="ffffff" w:themeColor="lt1"/>
          <w:sz w:val="28"/>
          <w:szCs w:val="28"/>
          <w:u w:val="single"/>
          <w:lang w:val="en-GB"/>
        </w:rPr>
        <w:t>Warm up</w:t>
      </w:r>
      <w:r>
        <w:rPr>
          <w:rFonts w:ascii="Arial" w:cs="Arial" w:hAnsi="Arial"/>
          <w:color w:val="ffffff" w:themeColor="lt1"/>
          <w:sz w:val="28"/>
          <w:szCs w:val="28"/>
          <w:lang w:val="en-GB"/>
        </w:rPr>
        <w:t>- getting the body ready from head to toe, an accessible for all warm up style.</w:t>
      </w:r>
    </w:p>
    <w:p w14:paraId="00000007">
      <w:pPr>
        <w:numPr>
          <w:ilvl w:val="0"/>
          <w:numId w:val="2"/>
        </w:numPr>
        <w:jc w:val="center"/>
        <w:rPr>
          <w:rFonts w:ascii="Arial" w:cs="Arial" w:hAnsi="Arial"/>
          <w:color w:val="ffffff" w:themeColor="lt1"/>
          <w:sz w:val="28"/>
          <w:szCs w:val="28"/>
        </w:rPr>
      </w:pPr>
      <w:r>
        <w:rPr>
          <w:rFonts w:ascii="Arial" w:cs="Arial" w:hAnsi="Arial"/>
          <w:b/>
          <w:bCs/>
          <w:color w:val="ffffff" w:themeColor="lt1"/>
          <w:sz w:val="28"/>
          <w:szCs w:val="28"/>
          <w:u w:val="single"/>
          <w:lang w:val="en-GB"/>
        </w:rPr>
        <w:t>Skill building</w:t>
      </w:r>
      <w:r>
        <w:rPr>
          <w:rFonts w:ascii="Arial" w:cs="Arial" w:hAnsi="Arial"/>
          <w:color w:val="ffffff" w:themeColor="lt1"/>
          <w:sz w:val="28"/>
          <w:szCs w:val="28"/>
          <w:lang w:val="en-GB"/>
        </w:rPr>
        <w:t>- Introduction of small manageable choreography or specific movements (depending on level and need of students).</w:t>
      </w:r>
    </w:p>
    <w:p w14:paraId="00000008">
      <w:pPr>
        <w:numPr>
          <w:ilvl w:val="0"/>
          <w:numId w:val="2"/>
        </w:numPr>
        <w:jc w:val="center"/>
        <w:rPr>
          <w:rFonts w:ascii="Arial" w:cs="Arial" w:hAnsi="Arial"/>
          <w:color w:val="ffffff" w:themeColor="lt1"/>
          <w:sz w:val="28"/>
          <w:szCs w:val="28"/>
          <w:u w:val="none"/>
        </w:rPr>
      </w:pPr>
      <w:r>
        <w:rPr>
          <w:rFonts w:ascii="Arial" w:cs="Arial" w:hAnsi="Arial"/>
          <w:b/>
          <w:bCs/>
          <w:color w:val="ffffff" w:themeColor="lt1"/>
          <w:sz w:val="28"/>
          <w:szCs w:val="28"/>
          <w:u w:val="single"/>
          <w:lang w:val="en-GB"/>
        </w:rPr>
        <w:t>Creative exploration</w:t>
      </w:r>
      <w:r>
        <w:rPr>
          <w:rFonts w:ascii="Arial" w:cs="Arial" w:hAnsi="Arial"/>
          <w:b/>
          <w:bCs/>
          <w:color w:val="ffffff" w:themeColor="lt1"/>
          <w:sz w:val="28"/>
          <w:szCs w:val="28"/>
          <w:u w:val="single"/>
          <w:lang w:val="en-GB"/>
        </w:rPr>
        <w:t xml:space="preserve">- </w:t>
      </w:r>
      <w:r>
        <w:rPr>
          <w:rFonts w:ascii="Arial" w:cs="Arial" w:hAnsi="Arial"/>
          <w:b w:val="off"/>
          <w:bCs w:val="off"/>
          <w:color w:val="ffffff" w:themeColor="lt1"/>
          <w:sz w:val="28"/>
          <w:szCs w:val="28"/>
          <w:u w:val="none"/>
          <w:lang w:val="en-GB"/>
        </w:rPr>
        <w:t>Free movement allowing improvisation and use of props such as scarves, ribbons, bells, to express themes.</w:t>
      </w:r>
    </w:p>
    <w:p w14:paraId="00000009">
      <w:pPr>
        <w:numPr>
          <w:ilvl w:val="0"/>
          <w:numId w:val="2"/>
        </w:numPr>
        <w:jc w:val="center"/>
        <w:rPr>
          <w:rFonts w:ascii="Arial" w:cs="Arial" w:hAnsi="Arial"/>
          <w:color w:val="ffffff" w:themeColor="lt1"/>
          <w:sz w:val="28"/>
          <w:szCs w:val="28"/>
        </w:rPr>
      </w:pPr>
      <w:r>
        <w:rPr>
          <w:rFonts w:ascii="Arial" w:cs="Arial" w:hAnsi="Arial"/>
          <w:b/>
          <w:bCs/>
          <w:color w:val="ffffff" w:themeColor="lt1"/>
          <w:sz w:val="28"/>
          <w:szCs w:val="28"/>
          <w:u w:val="single"/>
          <w:lang w:val="en-GB"/>
        </w:rPr>
        <w:t>Cool down/ relaxation and reflection</w:t>
      </w:r>
      <w:r>
        <w:rPr>
          <w:rFonts w:ascii="Arial" w:cs="Arial" w:hAnsi="Arial"/>
          <w:color w:val="ffffff" w:themeColor="lt1"/>
          <w:sz w:val="28"/>
          <w:szCs w:val="28"/>
          <w:lang w:val="en-GB"/>
        </w:rPr>
        <w:t>- Reflecting on the dance or moves learnt, and doing gentle stretches to bring energy down with relaxation at the end and a goodbye to help with the transition to the next space.</w:t>
      </w:r>
    </w:p>
    <w:p w14:paraId="0000000A">
      <w:pPr>
        <w:ind w:left="720" w:right="0" w:firstLine="0"/>
        <w:jc w:val="center"/>
        <w:rPr>
          <w:rFonts w:ascii="Arial" w:cs="Arial" w:hAnsi="Arial"/>
          <w:b/>
          <w:bCs/>
          <w:color w:val="ffffff" w:themeColor="lt1"/>
          <w:sz w:val="28"/>
          <w:szCs w:val="28"/>
          <w:u w:val="single"/>
        </w:rPr>
      </w:pPr>
      <w:r>
        <w:rPr>
          <w:rFonts w:ascii="Arial" w:cs="Arial" w:hAnsi="Arial"/>
          <w:b/>
          <w:bCs/>
          <w:color w:val="ffffff" w:themeColor="lt1"/>
          <w:sz w:val="28"/>
          <w:szCs w:val="28"/>
          <w:u w:val="single"/>
          <w:lang w:val="en-GB"/>
        </w:rPr>
        <w:t>Acting Structure</w:t>
      </w:r>
    </w:p>
    <w:p w14:paraId="0000000B">
      <w:pPr>
        <w:numPr>
          <w:ilvl w:val="0"/>
          <w:numId w:val="4"/>
        </w:numPr>
        <w:jc w:val="center"/>
        <w:rPr>
          <w:rFonts w:ascii="Arial" w:cs="Arial" w:hAnsi="Arial"/>
          <w:color w:val="ffffff" w:themeColor="lt1"/>
          <w:sz w:val="28"/>
          <w:szCs w:val="28"/>
        </w:rPr>
      </w:pPr>
      <w:r>
        <w:rPr>
          <w:rFonts w:ascii="Arial" w:cs="Arial" w:hAnsi="Arial"/>
          <w:color w:val="ffffff" w:themeColor="lt1"/>
          <w:sz w:val="28"/>
          <w:szCs w:val="28"/>
          <w:lang w:val="en-GB"/>
        </w:rPr>
        <w:t>The welcome and a physical warm up- introduction to myself and the workshop, followed by a physical and accessible warm up, and drama games.</w:t>
      </w:r>
    </w:p>
    <w:p w14:paraId="0000000C">
      <w:pPr>
        <w:numPr>
          <w:ilvl w:val="0"/>
          <w:numId w:val="4"/>
        </w:numPr>
        <w:jc w:val="center"/>
        <w:rPr>
          <w:rFonts w:ascii="Arial" w:cs="Arial" w:hAnsi="Arial"/>
          <w:color w:val="ffffff" w:themeColor="lt1"/>
          <w:sz w:val="28"/>
          <w:szCs w:val="28"/>
        </w:rPr>
      </w:pPr>
      <w:r>
        <w:rPr>
          <w:rFonts w:ascii="Arial" w:cs="Arial" w:hAnsi="Arial"/>
          <w:color w:val="ffffff" w:themeColor="lt1"/>
          <w:sz w:val="28"/>
          <w:szCs w:val="28"/>
          <w:lang w:val="en-GB"/>
        </w:rPr>
        <w:t>The stage- learn about the stage and the structure, work on embodying physical characterisation, start to get comfortable working in pairs or groups on improvisation.</w:t>
      </w:r>
    </w:p>
    <w:p w14:paraId="0000000D">
      <w:pPr>
        <w:numPr>
          <w:ilvl w:val="0"/>
          <w:numId w:val="4"/>
        </w:numPr>
        <w:jc w:val="center"/>
        <w:rPr>
          <w:rFonts w:ascii="Arial" w:cs="Arial" w:hAnsi="Arial"/>
          <w:color w:val="ffffff" w:themeColor="lt1"/>
          <w:sz w:val="28"/>
          <w:szCs w:val="28"/>
        </w:rPr>
      </w:pPr>
      <w:r>
        <w:rPr>
          <w:rFonts w:ascii="Arial" w:cs="Arial" w:hAnsi="Arial"/>
          <w:color w:val="ffffff" w:themeColor="lt1"/>
          <w:sz w:val="28"/>
          <w:szCs w:val="28"/>
          <w:lang w:val="en-GB"/>
        </w:rPr>
        <w:drawing xmlns:mc="http://schemas.openxmlformats.org/markup-compatibility/2006">
          <wp:anchor allowOverlap="1" behindDoc="1" distT="0" distB="0" distL="118872" distR="118872" layoutInCell="1" locked="0" relativeHeight="503314434" simplePos="0">
            <wp:simplePos x="0" y="0"/>
            <wp:positionH relativeFrom="margin">
              <wp:posOffset>-601345</wp:posOffset>
            </wp:positionH>
            <wp:positionV relativeFrom="margin">
              <wp:posOffset>-585470</wp:posOffset>
            </wp:positionV>
            <wp:extent cx="6928485" cy="100520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Grp="0" noSelect="0" noChangeAspect="1" noMove="0"/>
                    </pic:cNvPicPr>
                  </pic:nvPicPr>
                  <pic:blipFill>
                    <a:blip r:embed="rId10"/>
                    <a:srcRect/>
                    <a:stretch>
                      <a:fillRect/>
                    </a:stretch>
                  </pic:blipFill>
                  <pic:spPr>
                    <a:xfrm>
                      <a:off x="0" y="0"/>
                      <a:ext cx="6928485" cy="10052050"/>
                    </a:xfrm>
                    <a:prstGeom prst="rect">
                      <a:avLst/>
                    </a:prstGeom>
                  </pic:spPr>
                </pic:pic>
              </a:graphicData>
            </a:graphic>
          </wp:anchor>
        </w:drawing>
      </w:r>
      <w:r>
        <w:rPr>
          <w:rFonts w:ascii="Arial" w:cs="Arial" w:hAnsi="Arial"/>
          <w:color w:val="ffffff" w:themeColor="lt1"/>
          <w:sz w:val="28"/>
          <w:szCs w:val="28"/>
          <w:lang w:val="en-GB"/>
        </w:rPr>
        <w:t>Group piece - work on a piece all together or small short group pieces, learning about timing and action and reaction and embodying and remaining in character.</w:t>
      </w:r>
    </w:p>
    <w:p w14:paraId="0000000E">
      <w:pPr>
        <w:ind w:left="720" w:right="0" w:firstLine="0"/>
        <w:jc w:val="center"/>
        <w:rPr>
          <w:rFonts w:ascii="Arial" w:cs="Arial" w:hAnsi="Arial"/>
          <w:b/>
          <w:bCs/>
          <w:color w:val="ffffff" w:themeColor="lt1"/>
          <w:sz w:val="28"/>
          <w:szCs w:val="28"/>
          <w:u w:val="single"/>
        </w:rPr>
      </w:pPr>
      <w:r>
        <w:rPr>
          <w:rFonts w:ascii="Arial" w:cs="Arial" w:hAnsi="Arial"/>
          <w:b/>
          <w:bCs/>
          <w:color w:val="ffffff" w:themeColor="lt1"/>
          <w:sz w:val="28"/>
          <w:szCs w:val="28"/>
          <w:u w:val="single"/>
          <w:lang w:val="en-GB"/>
        </w:rPr>
        <w:t>Workshop Intensity/ duration</w:t>
      </w:r>
    </w:p>
    <w:p w14:paraId="0000000F">
      <w:pPr>
        <w:ind w:left="720" w:right="0" w:firstLine="0"/>
        <w:jc w:val="center"/>
        <w:rPr>
          <w:rFonts w:ascii="Arial" w:cs="Arial" w:hAnsi="Arial"/>
          <w:color w:val="ffffff" w:themeColor="lt1"/>
          <w:sz w:val="28"/>
          <w:szCs w:val="28"/>
          <w:lang w:val="en-GB"/>
        </w:rPr>
      </w:pPr>
      <w:r>
        <w:rPr>
          <w:rFonts w:ascii="Arial" w:cs="Arial" w:hAnsi="Arial"/>
          <w:b/>
          <w:bCs/>
          <w:color w:val="ffffff" w:themeColor="lt1"/>
          <w:sz w:val="28"/>
          <w:szCs w:val="28"/>
          <w:u w:val="single"/>
          <w:lang w:val="en-GB"/>
        </w:rPr>
        <w:t>Dance</w:t>
      </w:r>
    </w:p>
    <w:p w14:paraId="00000010">
      <w:pPr>
        <w:numPr>
          <w:ilvl w:val="0"/>
          <w:numId w:val="5"/>
        </w:numPr>
        <w:jc w:val="center"/>
        <w:rPr>
          <w:rFonts w:ascii="Arial" w:cs="Arial" w:hAnsi="Arial"/>
          <w:color w:val="ffffff" w:themeColor="lt1"/>
          <w:sz w:val="28"/>
          <w:szCs w:val="28"/>
        </w:rPr>
      </w:pPr>
      <w:r>
        <w:rPr>
          <w:rFonts w:ascii="Arial" w:cs="Arial" w:hAnsi="Arial"/>
          <w:b/>
          <w:bCs/>
          <w:color w:val="ffffff" w:themeColor="lt1"/>
          <w:sz w:val="28"/>
          <w:szCs w:val="28"/>
          <w:lang w:val="en-GB"/>
        </w:rPr>
        <w:t>EYFS/KS1(early years)</w:t>
      </w:r>
      <w:r>
        <w:rPr>
          <w:rFonts w:ascii="Arial" w:cs="Arial" w:hAnsi="Arial"/>
          <w:color w:val="ffffff" w:themeColor="lt1"/>
          <w:sz w:val="28"/>
          <w:szCs w:val="28"/>
          <w:lang w:val="en-GB"/>
        </w:rPr>
        <w:t xml:space="preserve"> - small, repetitive sessions, high energy, short bursts of activity, and props.</w:t>
      </w:r>
    </w:p>
    <w:p w14:paraId="00000011">
      <w:pPr>
        <w:numPr>
          <w:ilvl w:val="0"/>
          <w:numId w:val="5"/>
        </w:numPr>
        <w:jc w:val="center"/>
        <w:rPr>
          <w:rFonts w:ascii="Arial" w:cs="Arial" w:hAnsi="Arial"/>
          <w:color w:val="ffffff" w:themeColor="lt1"/>
          <w:sz w:val="28"/>
          <w:szCs w:val="28"/>
        </w:rPr>
      </w:pPr>
      <w:r>
        <w:rPr>
          <w:rFonts w:ascii="Arial" w:cs="Arial" w:hAnsi="Arial"/>
          <w:b/>
          <w:bCs/>
          <w:color w:val="ffffff" w:themeColor="lt1"/>
          <w:sz w:val="28"/>
          <w:szCs w:val="28"/>
          <w:lang w:val="en-GB"/>
        </w:rPr>
        <w:t>KS2-KS4-</w:t>
      </w:r>
      <w:r>
        <w:rPr>
          <w:rFonts w:ascii="Arial" w:cs="Arial" w:hAnsi="Arial"/>
          <w:color w:val="ffffff" w:themeColor="lt1"/>
          <w:sz w:val="28"/>
          <w:szCs w:val="28"/>
          <w:lang w:val="en-GB"/>
        </w:rPr>
        <w:t xml:space="preserve"> Longer sessions, slightly more complex choreography, </w:t>
      </w:r>
      <w:r>
        <w:rPr>
          <w:rFonts w:ascii="Arial" w:cs="Arial" w:hAnsi="Arial"/>
          <w:color w:val="ffffff" w:themeColor="lt1"/>
          <w:sz w:val="28"/>
          <w:szCs w:val="28"/>
          <w:lang w:val="en-GB"/>
        </w:rPr>
        <w:t>partner work and creative exploration with props.</w:t>
      </w:r>
    </w:p>
    <w:p w14:paraId="00000012">
      <w:pPr>
        <w:numPr>
          <w:ilvl w:val="0"/>
          <w:numId w:val="5"/>
        </w:numPr>
        <w:jc w:val="center"/>
        <w:rPr>
          <w:rFonts w:ascii="Arial" w:cs="Arial" w:hAnsi="Arial"/>
          <w:color w:val="ffffff" w:themeColor="lt1"/>
          <w:sz w:val="28"/>
          <w:szCs w:val="28"/>
        </w:rPr>
      </w:pPr>
      <w:r>
        <w:rPr>
          <w:rFonts w:ascii="Arial" w:cs="Arial" w:hAnsi="Arial"/>
          <w:b/>
          <w:bCs/>
          <w:color w:val="ffffff" w:themeColor="lt1"/>
          <w:sz w:val="28"/>
          <w:szCs w:val="28"/>
          <w:lang w:val="en-GB"/>
        </w:rPr>
        <w:t>Adults-</w:t>
      </w:r>
      <w:r>
        <w:rPr>
          <w:rFonts w:ascii="Arial" w:cs="Arial" w:hAnsi="Arial"/>
          <w:color w:val="ffffff" w:themeColor="lt1"/>
          <w:sz w:val="28"/>
          <w:szCs w:val="28"/>
          <w:lang w:val="en-GB"/>
        </w:rPr>
        <w:t xml:space="preserve"> Longer sessions, more complex choreography ( if </w:t>
      </w:r>
      <w:r>
        <w:rPr>
          <w:rFonts w:ascii="Arial" w:cs="Arial" w:hAnsi="Arial"/>
          <w:color w:val="ffffff" w:themeColor="lt1"/>
          <w:sz w:val="28"/>
          <w:szCs w:val="28"/>
          <w:lang w:val="en-GB"/>
        </w:rPr>
        <w:t>accessible looking at specific styles), partner work, group work, creative exploration with props in a structured piece.`</w:t>
      </w:r>
    </w:p>
    <w:p w14:paraId="00000013">
      <w:pPr>
        <w:ind w:left="720" w:right="0" w:firstLine="0"/>
        <w:jc w:val="center"/>
        <w:rPr>
          <w:rFonts w:ascii="Arial" w:cs="Arial" w:hAnsi="Arial"/>
          <w:color w:val="ffffff" w:themeColor="lt1"/>
          <w:sz w:val="28"/>
          <w:szCs w:val="28"/>
        </w:rPr>
      </w:pPr>
      <w:r>
        <w:rPr>
          <w:rFonts w:ascii="Arial" w:cs="Arial" w:hAnsi="Arial"/>
          <w:color w:val="ffffff" w:themeColor="lt1"/>
          <w:sz w:val="28"/>
          <w:szCs w:val="28"/>
          <w:lang w:val="en-GB"/>
        </w:rPr>
        <w:t>All of our SEND workshops contain familiarity, inclusive communication, seated/standing options, use of props to engage and inclusive formations so everyone can see the facilitator and each other.</w:t>
      </w:r>
    </w:p>
    <w:p w14:paraId="00000014">
      <w:pPr>
        <w:ind w:left="720" w:right="0" w:firstLine="0"/>
        <w:jc w:val="center"/>
        <w:rPr>
          <w:rFonts w:ascii="Arial" w:cs="Arial" w:hAnsi="Arial"/>
          <w:b/>
          <w:bCs/>
          <w:color w:val="ffffff" w:themeColor="lt1"/>
          <w:sz w:val="28"/>
          <w:szCs w:val="28"/>
          <w:u w:val="single"/>
        </w:rPr>
      </w:pPr>
      <w:r>
        <w:rPr>
          <w:rFonts w:ascii="Arial" w:cs="Arial" w:hAnsi="Arial"/>
          <w:b/>
          <w:bCs/>
          <w:color w:val="ffffff" w:themeColor="lt1"/>
          <w:sz w:val="28"/>
          <w:szCs w:val="28"/>
          <w:u w:val="single"/>
          <w:lang w:val="en-GB"/>
        </w:rPr>
        <w:t>Acting</w:t>
      </w:r>
    </w:p>
    <w:p w14:paraId="00000015">
      <w:pPr>
        <w:numPr>
          <w:ilvl w:val="0"/>
          <w:numId w:val="7"/>
        </w:numPr>
        <w:jc w:val="center"/>
        <w:rPr>
          <w:rFonts w:ascii="Arial" w:cs="Arial" w:hAnsi="Arial"/>
          <w:color w:val="ffffff" w:themeColor="lt1"/>
          <w:sz w:val="28"/>
          <w:szCs w:val="28"/>
        </w:rPr>
      </w:pPr>
      <w:r>
        <w:rPr>
          <w:rFonts w:ascii="Arial" w:cs="Arial" w:hAnsi="Arial"/>
          <w:b/>
          <w:bCs/>
          <w:color w:val="ffffff" w:themeColor="lt1"/>
          <w:sz w:val="28"/>
          <w:szCs w:val="28"/>
          <w:lang w:val="en-GB"/>
        </w:rPr>
        <w:t>EYFS/KS1-</w:t>
      </w:r>
      <w:r>
        <w:rPr>
          <w:rFonts w:ascii="Arial" w:cs="Arial" w:hAnsi="Arial"/>
          <w:color w:val="ffffff" w:themeColor="lt1"/>
          <w:sz w:val="28"/>
          <w:szCs w:val="28"/>
          <w:lang w:val="en-GB"/>
        </w:rPr>
        <w:t xml:space="preserve"> small sessions, short and fast paced to ensure engagement.</w:t>
      </w:r>
    </w:p>
    <w:p w14:paraId="00000016">
      <w:pPr>
        <w:numPr>
          <w:ilvl w:val="0"/>
          <w:numId w:val="7"/>
        </w:numPr>
        <w:jc w:val="center"/>
        <w:rPr>
          <w:rFonts w:ascii="Arial" w:cs="Arial" w:hAnsi="Arial"/>
          <w:color w:val="ffffff" w:themeColor="lt1"/>
          <w:sz w:val="28"/>
          <w:szCs w:val="28"/>
        </w:rPr>
      </w:pPr>
      <w:r>
        <w:rPr>
          <w:rFonts w:ascii="Arial" w:cs="Arial" w:hAnsi="Arial"/>
          <w:b/>
          <w:bCs/>
          <w:color w:val="ffffff" w:themeColor="lt1"/>
          <w:sz w:val="28"/>
          <w:szCs w:val="28"/>
          <w:lang w:val="en-GB"/>
        </w:rPr>
        <w:t>KS2-KS4-</w:t>
      </w:r>
      <w:r>
        <w:rPr>
          <w:rFonts w:ascii="Arial" w:cs="Arial" w:hAnsi="Arial"/>
          <w:color w:val="ffffff" w:themeColor="lt1"/>
          <w:sz w:val="28"/>
          <w:szCs w:val="28"/>
          <w:lang w:val="en-GB"/>
        </w:rPr>
        <w:t xml:space="preserve"> A more complex session, looking at drama games, characterisation, confidence, the theatre structure, and allowing for self creative work in groups or partners.</w:t>
      </w:r>
    </w:p>
    <w:p w14:paraId="00000017">
      <w:pPr>
        <w:numPr>
          <w:ilvl w:val="0"/>
          <w:numId w:val="7"/>
        </w:numPr>
        <w:jc w:val="center"/>
        <w:rPr>
          <w:rFonts w:ascii="Arial" w:cs="Arial" w:hAnsi="Arial"/>
          <w:color w:val="ffffff" w:themeColor="lt1"/>
          <w:sz w:val="28"/>
          <w:szCs w:val="28"/>
        </w:rPr>
      </w:pPr>
      <w:r>
        <w:rPr>
          <w:rFonts w:ascii="Arial" w:cs="Arial" w:hAnsi="Arial"/>
          <w:b/>
          <w:bCs/>
          <w:color w:val="ffffff" w:themeColor="lt1"/>
          <w:sz w:val="28"/>
          <w:szCs w:val="28"/>
          <w:lang w:val="en-GB"/>
        </w:rPr>
        <w:t>Adults-</w:t>
      </w:r>
      <w:r>
        <w:rPr>
          <w:rFonts w:ascii="Arial" w:cs="Arial" w:hAnsi="Arial"/>
          <w:color w:val="ffffff" w:themeColor="lt1"/>
          <w:sz w:val="28"/>
          <w:szCs w:val="28"/>
          <w:lang w:val="en-GB"/>
        </w:rPr>
        <w:t xml:space="preserve"> A more complex session, including drama games, character work, confidence building in improv, self creative work in groups or partners and structured script work (if accessible).</w:t>
      </w:r>
    </w:p>
    <w:p w14:paraId="00000018">
      <w:pPr>
        <w:ind w:left="720" w:right="0" w:firstLine="0"/>
        <w:jc w:val="center"/>
        <w:rPr>
          <w:rFonts w:ascii="Arial" w:cs="Arial" w:hAnsi="Arial"/>
          <w:b/>
          <w:bCs/>
          <w:i/>
          <w:iCs/>
          <w:color w:val="ffffff" w:themeColor="lt1"/>
          <w:sz w:val="28"/>
          <w:szCs w:val="28"/>
        </w:rPr>
      </w:pPr>
      <w:r>
        <w:rPr>
          <w:rFonts w:ascii="Arial" w:cs="Arial" w:hAnsi="Arial"/>
          <w:b/>
          <w:bCs/>
          <w:i/>
          <w:iCs/>
          <w:color w:val="ffffff" w:themeColor="lt1"/>
          <w:sz w:val="28"/>
          <w:szCs w:val="28"/>
          <w:lang w:val="en-GB"/>
        </w:rPr>
        <w:t>On booking please specify which workshop your interested in, also the working age of students, specific needs of the group and the aim/ theme of the session.</w:t>
      </w:r>
    </w:p>
    <w:p w14:paraId="00000019">
      <w:pPr>
        <w:ind w:left="720" w:right="0" w:firstLine="0"/>
        <w:jc w:val="center"/>
        <w:rPr>
          <w:rFonts w:ascii="Arial" w:cs="Arial" w:hAnsi="Arial"/>
          <w:color w:val="ffffff" w:themeColor="lt1"/>
          <w:sz w:val="28"/>
          <w:szCs w:val="28"/>
        </w:rPr>
      </w:pPr>
      <w:r>
        <w:rPr>
          <w:rFonts w:ascii="Arial" w:cs="Arial" w:hAnsi="Arial"/>
          <w:b/>
          <w:bCs/>
          <w:i/>
          <w:iCs/>
          <w:color w:val="ffffff" w:themeColor="lt1"/>
          <w:sz w:val="28"/>
          <w:szCs w:val="28"/>
          <w:lang w:val="en-GB"/>
        </w:rPr>
        <w:t>All workshops in our cultural section are also accessible to SEND students.</w:t>
      </w:r>
    </w:p>
    <w:sectPr>
      <w:footnotePr/>
      <w:type w:val="nextPage"/>
      <w:pgSz w:w="11906" w:h="16838" w:orient="portrait"/>
      <w:pgMar w:top="1440" w:right="1440" w:bottom="1440" w:left="1440" w:header="708" w:footer="708" w:gutter="0"/>
      <w:paperSrc w:first="1" w:other="1"/>
      <w:pgBorders w:display="allPages" w:offsetFrom="page" w:zOrder="front">
        <w:top w:val="single" w:color="auto" w:sz="2" w:space="24"/>
        <w:left w:val="single" w:color="auto" w:sz="2" w:space="24"/>
        <w:right w:val="single" w:color="auto" w:sz="2" w:space="24"/>
        <w:bottom w:val="single" w:color="auto" w:sz="2" w:space="24"/>
      </w:pgBorders>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Fort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3">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6">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7">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8">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9">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1">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13">
    <w:multiLevelType w:val="hybridMultilevel"/>
    <w:lvl w:ilvl="0" w:tentative="0">
      <w:start w:val="1"/>
      <w:numFmt w:val="bullet"/>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1"/>
  </w:num>
  <w:num w:numId="2">
    <w:abstractNumId w:val="3"/>
  </w:num>
  <w:num w:numId="3">
    <w:abstractNumId w:val="5"/>
  </w:num>
  <w:num w:numId="4">
    <w:abstractNumId w:val="7"/>
  </w:num>
  <w:num w:numId="5">
    <w:abstractNumId w:val="9"/>
  </w:num>
  <w:num w:numId="6">
    <w:abstractNumId w:val="11"/>
  </w:num>
  <w:num w:numId="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 Type="http://schemas.openxmlformats.org/officeDocument/2006/relationships/image" Target="media/image4.jpeg"/><Relationship Id="rId2" Type="http://schemas.openxmlformats.org/officeDocument/2006/relationships/fontTable" Target="fontTable.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Rheanna Newman</dc:creator>
  <cp:lastModifiedBy>Rheanna Newman</cp:lastModifiedBy>
</cp:coreProperties>
</file>