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rPr>
          <w:rFonts w:ascii="Forte" w:hAnsi="Forte"/>
          <w:color w:val="ffffff" w:themeColor="lt1"/>
          <w:sz w:val="40"/>
          <w:szCs w:val="40"/>
        </w:rPr>
      </w:pPr>
      <w:r>
        <w:rPr>
          <w:rFonts w:ascii="Forte" w:hAnsi="Forte"/>
          <w:sz w:val="40"/>
          <w:szCs w:val="40"/>
          <w:lang w:val="en-GB"/>
        </w:rPr>
        <w:drawing xmlns:mc="http://schemas.openxmlformats.org/markup-compatibility/2006">
          <wp:anchor allowOverlap="1" behindDoc="1" layoutInCell="1" locked="0" relativeHeight="1" simplePos="0">
            <wp:simplePos x="0" y="0"/>
            <wp:positionH relativeFrom="margin">
              <wp:posOffset>-608965</wp:posOffset>
            </wp:positionH>
            <wp:positionV relativeFrom="margin">
              <wp:posOffset>-600710</wp:posOffset>
            </wp:positionV>
            <wp:extent cx="6934200" cy="100558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Grp="0" noSelect="0" noChangeAspect="1" noMove="0"/>
                    </pic:cNvPicPr>
                  </pic:nvPicPr>
                  <pic:blipFill>
                    <a:blip r:embed="rId7"/>
                    <a:srcRect/>
                    <a:stretch>
                      <a:fillRect/>
                    </a:stretch>
                  </pic:blipFill>
                  <pic:spPr>
                    <a:xfrm>
                      <a:off x="0" y="0"/>
                      <a:ext cx="6934200" cy="10055860"/>
                    </a:xfrm>
                    <a:prstGeom prst="rect">
                      <a:avLst/>
                    </a:prstGeom>
                  </pic:spPr>
                </pic:pic>
              </a:graphicData>
            </a:graphic>
          </wp:anchor>
        </w:drawing>
      </w:r>
      <w:r>
        <w:rPr>
          <w:rFonts w:ascii="Forte" w:hAnsi="Forte"/>
          <w:sz w:val="40"/>
          <w:szCs w:val="40"/>
          <w:lang w:val="en-GB"/>
        </w:rPr>
        <w:t xml:space="preserve">     </w:t>
      </w:r>
      <w:r>
        <w:rPr>
          <w:rFonts w:ascii="Arial" w:cs="Arial" w:hAnsi="Arial"/>
          <w:sz w:val="40"/>
          <w:szCs w:val="40"/>
          <w:lang w:val="en-GB"/>
        </w:rPr>
        <w:t xml:space="preserve">   </w:t>
      </w:r>
      <w:r>
        <w:rPr>
          <w:rFonts w:ascii="Arial" w:cs="Arial" w:hAnsi="Arial"/>
          <w:sz w:val="40"/>
          <w:szCs w:val="40"/>
          <w:u w:val="single"/>
          <w:lang w:val="en-GB"/>
        </w:rPr>
        <w:t xml:space="preserve"> </w:t>
      </w:r>
      <w:r>
        <w:rPr>
          <w:rFonts w:ascii="Arial" w:cs="Arial" w:hAnsi="Arial"/>
          <w:color w:val="ffffff" w:themeColor="lt1"/>
          <w:sz w:val="40"/>
          <w:szCs w:val="40"/>
          <w:u w:val="single"/>
          <w:lang w:val="en-GB"/>
        </w:rPr>
        <w:t>Mental Health &amp; Wellbeing Workshops</w:t>
      </w:r>
    </w:p>
    <w:p w14:paraId="00000002">
      <w:pPr>
        <w:spacing w:after="0"/>
        <w:rPr>
          <w:rFonts w:ascii="Arial" w:cs="Arial" w:hAnsi="Arial"/>
          <w:color w:val="ffffff" w:themeColor="lt1"/>
          <w:sz w:val="28"/>
          <w:szCs w:val="28"/>
          <w:u w:val="none"/>
          <w:lang w:val="en-GB"/>
        </w:rPr>
      </w:pPr>
    </w:p>
    <w:p w14:paraId="00000003">
      <w:pPr>
        <w:spacing w:after="0"/>
        <w:rPr>
          <w:rFonts w:ascii="Arial" w:cs="Arial" w:hAnsi="Arial"/>
          <w:color w:val="ffffff" w:themeColor="lt1"/>
          <w:sz w:val="28"/>
          <w:szCs w:val="28"/>
          <w:u w:val="none"/>
          <w:lang w:val="en-GB"/>
        </w:rPr>
      </w:pPr>
    </w:p>
    <w:p w14:paraId="00000004">
      <w:pPr>
        <w:spacing w:after="0"/>
        <w:jc w:val="center"/>
        <w:rPr>
          <w:rFonts w:ascii="Arial" w:cs="Arial" w:hAnsi="Arial"/>
          <w:color w:val="ffffff" w:themeColor="lt1"/>
          <w:sz w:val="28"/>
          <w:szCs w:val="28"/>
          <w:u w:val="none"/>
          <w:lang w:val="en-GB"/>
        </w:rPr>
      </w:pPr>
      <w:r>
        <w:rPr>
          <w:rFonts w:ascii="Arial" w:cs="Arial" w:hAnsi="Arial"/>
          <w:color w:val="ffffff" w:themeColor="lt1"/>
          <w:sz w:val="28"/>
          <w:szCs w:val="28"/>
          <w:u w:val="none"/>
          <w:lang w:val="en-GB"/>
        </w:rPr>
        <w:t>Our mental health and wellbeing workshops are designed to help the mental, emotional, and physical wellbeing of participants. These sessions create a safe, inclusive space where individuals can explore tools to build confidence, resilience, and self believe.</w:t>
      </w:r>
    </w:p>
    <w:p w14:paraId="00000005">
      <w:pPr>
        <w:spacing w:after="0"/>
        <w:jc w:val="center"/>
        <w:rPr>
          <w:rFonts w:ascii="Arial" w:cs="Arial" w:hAnsi="Arial"/>
          <w:color w:val="ffffff" w:themeColor="lt1"/>
          <w:sz w:val="28"/>
          <w:szCs w:val="28"/>
          <w:u w:val="none"/>
          <w:lang w:val="en-GB"/>
        </w:rPr>
      </w:pPr>
    </w:p>
    <w:p w14:paraId="00000006">
      <w:pPr>
        <w:spacing w:after="0"/>
        <w:jc w:val="center"/>
        <w:rPr>
          <w:rFonts w:ascii="Arial" w:cs="Arial" w:hAnsi="Arial"/>
          <w:color w:val="ffffff" w:themeColor="lt1"/>
          <w:sz w:val="28"/>
          <w:szCs w:val="28"/>
          <w:u w:val="none"/>
        </w:rPr>
      </w:pPr>
      <w:r>
        <w:rPr>
          <w:rFonts w:ascii="Arial" w:cs="Arial" w:hAnsi="Arial"/>
          <w:color w:val="ffffff" w:themeColor="lt1"/>
          <w:sz w:val="28"/>
          <w:szCs w:val="28"/>
          <w:u w:val="none"/>
          <w:lang w:val="en-GB"/>
        </w:rPr>
        <w:t xml:space="preserve">The workshop perfectly aligns to key awareness events such as: world mental health day and children’s mental health week, helping to spark meaningful conversations and physical solutions around mental wellbeing and reduce stigma. Through a range of engaging and interactive activities, participants are encouraged to reflect, connect, and develop positive coping strategies. </w:t>
      </w:r>
    </w:p>
    <w:p w14:paraId="00000007">
      <w:pPr>
        <w:spacing w:after="0"/>
        <w:jc w:val="center"/>
        <w:rPr>
          <w:rFonts w:ascii="Arial" w:cs="Arial" w:hAnsi="Arial"/>
          <w:color w:val="ffffff" w:themeColor="lt1"/>
          <w:sz w:val="28"/>
          <w:szCs w:val="28"/>
          <w:u w:val="none"/>
        </w:rPr>
      </w:pPr>
    </w:p>
    <w:p w14:paraId="00000008">
      <w:pPr>
        <w:spacing w:after="0"/>
        <w:jc w:val="center"/>
        <w:rPr>
          <w:rFonts w:ascii="Arial" w:cs="Arial" w:hAnsi="Arial"/>
          <w:color w:val="ffffff" w:themeColor="lt1"/>
          <w:sz w:val="28"/>
          <w:szCs w:val="28"/>
          <w:u w:val="none"/>
        </w:rPr>
      </w:pPr>
      <w:r>
        <w:rPr>
          <w:rFonts w:ascii="Arial" w:cs="Arial" w:hAnsi="Arial"/>
          <w:color w:val="ffffff" w:themeColor="lt1"/>
          <w:sz w:val="28"/>
          <w:szCs w:val="28"/>
          <w:u w:val="none"/>
          <w:lang w:val="en-GB"/>
        </w:rPr>
        <w:t>These sessions also have a special focus on the unique pressures within the performing arts industry and building longevity resilience both on and off stage.</w:t>
      </w:r>
    </w:p>
    <w:p w14:paraId="00000009">
      <w:pPr>
        <w:spacing w:after="0"/>
        <w:jc w:val="center"/>
        <w:rPr>
          <w:rFonts w:ascii="Arial" w:cs="Arial" w:hAnsi="Arial"/>
          <w:color w:val="ffffff" w:themeColor="lt1"/>
          <w:sz w:val="28"/>
          <w:szCs w:val="28"/>
          <w:u w:val="none"/>
        </w:rPr>
      </w:pPr>
    </w:p>
    <w:p w14:paraId="0000000A">
      <w:pPr>
        <w:spacing w:after="0"/>
        <w:jc w:val="center"/>
        <w:rPr>
          <w:rFonts w:ascii="Arial" w:cs="Arial" w:hAnsi="Arial"/>
          <w:b/>
          <w:bCs/>
          <w:color w:val="ffffff" w:themeColor="lt1"/>
          <w:sz w:val="28"/>
          <w:szCs w:val="28"/>
          <w:u w:val="single"/>
        </w:rPr>
      </w:pPr>
      <w:r>
        <w:rPr>
          <w:rFonts w:ascii="Arial" w:cs="Arial" w:hAnsi="Arial"/>
          <w:b/>
          <w:bCs/>
          <w:color w:val="ffffff" w:themeColor="lt1"/>
          <w:sz w:val="28"/>
          <w:szCs w:val="28"/>
          <w:u w:val="single"/>
          <w:lang w:val="en-GB"/>
        </w:rPr>
        <w:t>Workshop Contents:</w:t>
      </w:r>
    </w:p>
    <w:p w14:paraId="0000000B">
      <w:pPr>
        <w:spacing w:after="0"/>
        <w:jc w:val="center"/>
        <w:rPr>
          <w:rFonts w:ascii="Arial" w:cs="Arial" w:hAnsi="Arial"/>
          <w:b/>
          <w:bCs/>
          <w:color w:val="ffffff" w:themeColor="lt1"/>
          <w:sz w:val="28"/>
          <w:szCs w:val="28"/>
          <w:u w:val="single"/>
        </w:rPr>
      </w:pPr>
    </w:p>
    <w:p w14:paraId="0000000C">
      <w:pPr>
        <w:numPr>
          <w:ilvl w:val="0"/>
          <w:numId w:val="1"/>
        </w:numPr>
        <w:spacing w:after="0"/>
        <w:jc w:val="center"/>
        <w:rPr>
          <w:rFonts w:ascii="Arial" w:cs="Arial" w:hAnsi="Arial"/>
          <w:b/>
          <w:bCs/>
          <w:color w:val="ffffff" w:themeColor="lt1"/>
          <w:sz w:val="28"/>
          <w:szCs w:val="28"/>
          <w:u w:val="single"/>
        </w:rPr>
      </w:pPr>
      <w:r>
        <w:rPr>
          <w:rFonts w:ascii="Arial" w:cs="Arial" w:hAnsi="Arial"/>
          <w:b/>
          <w:bCs/>
          <w:color w:val="ffffff" w:themeColor="lt1"/>
          <w:sz w:val="28"/>
          <w:szCs w:val="28"/>
          <w:u w:val="none"/>
          <w:lang w:val="en-GB"/>
        </w:rPr>
        <w:t>Yoga and movement</w:t>
      </w:r>
      <w:r>
        <w:rPr>
          <w:rFonts w:ascii="Arial" w:cs="Arial" w:hAnsi="Arial"/>
          <w:b w:val="off"/>
          <w:bCs w:val="off"/>
          <w:color w:val="ffffff" w:themeColor="lt1"/>
          <w:sz w:val="28"/>
          <w:szCs w:val="28"/>
          <w:u w:val="none"/>
          <w:lang w:val="en-GB"/>
        </w:rPr>
        <w:t xml:space="preserve"> - for relaxation</w:t>
      </w:r>
    </w:p>
    <w:p w14:paraId="0000000D">
      <w:pPr>
        <w:numPr>
          <w:ilvl w:val="0"/>
          <w:numId w:val="1"/>
        </w:numPr>
        <w:spacing w:after="0"/>
        <w:jc w:val="center"/>
        <w:rPr>
          <w:rFonts w:ascii="Arial" w:cs="Arial" w:hAnsi="Arial"/>
          <w:b/>
          <w:bCs/>
          <w:color w:val="ffffff" w:themeColor="lt1"/>
          <w:sz w:val="28"/>
          <w:szCs w:val="28"/>
          <w:u w:val="single"/>
        </w:rPr>
      </w:pPr>
      <w:r>
        <w:rPr>
          <w:rFonts w:ascii="Arial" w:cs="Arial" w:hAnsi="Arial"/>
          <w:b/>
          <w:bCs/>
          <w:color w:val="ffffff" w:themeColor="lt1"/>
          <w:sz w:val="28"/>
          <w:szCs w:val="28"/>
          <w:u w:val="none"/>
          <w:lang w:val="en-GB"/>
        </w:rPr>
        <w:t>Digital wellbeing</w:t>
      </w:r>
      <w:r>
        <w:rPr>
          <w:rFonts w:ascii="Arial" w:cs="Arial" w:hAnsi="Arial"/>
          <w:b w:val="off"/>
          <w:bCs w:val="off"/>
          <w:color w:val="ffffff" w:themeColor="lt1"/>
          <w:sz w:val="28"/>
          <w:szCs w:val="28"/>
          <w:u w:val="none"/>
          <w:lang w:val="en-GB"/>
        </w:rPr>
        <w:t xml:space="preserve"> - to promote healthy online habits</w:t>
      </w:r>
    </w:p>
    <w:p w14:paraId="0000000E">
      <w:pPr>
        <w:numPr>
          <w:ilvl w:val="0"/>
          <w:numId w:val="1"/>
        </w:numPr>
        <w:spacing w:after="0"/>
        <w:jc w:val="center"/>
        <w:rPr>
          <w:rFonts w:ascii="Arial" w:cs="Arial" w:hAnsi="Arial"/>
          <w:b/>
          <w:bCs/>
          <w:color w:val="ffffff" w:themeColor="lt1"/>
          <w:sz w:val="28"/>
          <w:szCs w:val="28"/>
          <w:u w:val="single"/>
        </w:rPr>
      </w:pPr>
      <w:r>
        <w:rPr>
          <w:rFonts w:ascii="Arial" w:cs="Arial" w:hAnsi="Arial"/>
          <w:b/>
          <w:bCs/>
          <w:color w:val="ffffff" w:themeColor="lt1"/>
          <w:sz w:val="28"/>
          <w:szCs w:val="28"/>
          <w:u w:val="none"/>
          <w:lang w:val="en-GB"/>
        </w:rPr>
        <w:t>Practical exercises</w:t>
      </w:r>
      <w:r>
        <w:rPr>
          <w:rFonts w:ascii="Arial" w:cs="Arial" w:hAnsi="Arial"/>
          <w:b w:val="off"/>
          <w:bCs w:val="off"/>
          <w:color w:val="ffffff" w:themeColor="lt1"/>
          <w:sz w:val="28"/>
          <w:szCs w:val="28"/>
          <w:u w:val="none"/>
          <w:lang w:val="en-GB"/>
        </w:rPr>
        <w:t xml:space="preserve"> - to strengthen confidence, self expression and emotional resilience </w:t>
      </w:r>
    </w:p>
    <w:p w14:paraId="0000000F">
      <w:pPr>
        <w:numPr>
          <w:ilvl w:val="0"/>
          <w:numId w:val="1"/>
        </w:numPr>
        <w:spacing w:after="0"/>
        <w:jc w:val="center"/>
        <w:rPr>
          <w:rFonts w:ascii="Arial" w:cs="Arial" w:hAnsi="Arial"/>
          <w:b/>
          <w:bCs/>
          <w:color w:val="ffffff" w:themeColor="lt1"/>
          <w:sz w:val="28"/>
          <w:szCs w:val="28"/>
          <w:u w:val="single"/>
        </w:rPr>
      </w:pPr>
      <w:r>
        <w:rPr>
          <w:rFonts w:ascii="Arial" w:cs="Arial" w:hAnsi="Arial"/>
          <w:b/>
          <w:bCs/>
          <w:color w:val="ffffff" w:themeColor="lt1"/>
          <w:sz w:val="28"/>
          <w:szCs w:val="28"/>
          <w:u w:val="none"/>
          <w:lang w:val="en-GB"/>
        </w:rPr>
        <w:t>Physical health and nutrition</w:t>
      </w:r>
      <w:r>
        <w:rPr>
          <w:rFonts w:ascii="Arial" w:cs="Arial" w:hAnsi="Arial"/>
          <w:b w:val="off"/>
          <w:bCs w:val="off"/>
          <w:color w:val="ffffff" w:themeColor="lt1"/>
          <w:sz w:val="28"/>
          <w:szCs w:val="28"/>
          <w:u w:val="none"/>
          <w:lang w:val="en-GB"/>
        </w:rPr>
        <w:t xml:space="preserve"> - tips and coaching on how to stay physically fit and healthy in the performing arts industry and in everyday walks of life, and offer guidance on healthy and sustainable eating habits. </w:t>
      </w:r>
    </w:p>
    <w:p w14:paraId="00000010">
      <w:pPr>
        <w:spacing w:after="0"/>
        <w:ind w:left="0" w:right="0" w:firstLine="0"/>
        <w:rPr>
          <w:rFonts w:ascii="Arial" w:cs="Arial" w:hAnsi="Arial"/>
          <w:b/>
          <w:bCs/>
          <w:color w:val="ffffff" w:themeColor="lt1"/>
          <w:sz w:val="28"/>
          <w:szCs w:val="28"/>
          <w:u w:val="single"/>
        </w:rPr>
      </w:pPr>
    </w:p>
    <w:p w14:paraId="00000011">
      <w:pPr>
        <w:spacing w:after="0"/>
        <w:ind w:left="0" w:right="0" w:firstLine="0"/>
        <w:rPr>
          <w:rFonts w:ascii="Arial" w:cs="Arial" w:hAnsi="Arial"/>
          <w:b/>
          <w:bCs/>
          <w:color w:val="ffffff" w:themeColor="lt1"/>
          <w:sz w:val="28"/>
          <w:szCs w:val="28"/>
          <w:u w:val="single"/>
        </w:rPr>
      </w:pPr>
    </w:p>
    <w:p w14:paraId="00000012">
      <w:pPr>
        <w:spacing w:after="0"/>
        <w:ind w:left="0" w:right="0" w:firstLine="0"/>
        <w:rPr>
          <w:rFonts w:ascii="Arial" w:cs="Arial" w:hAnsi="Arial"/>
          <w:b/>
          <w:bCs/>
          <w:i/>
          <w:iCs/>
          <w:color w:val="ffffff" w:themeColor="lt1"/>
          <w:sz w:val="28"/>
          <w:szCs w:val="28"/>
          <w:u w:val="none"/>
        </w:rPr>
      </w:pPr>
      <w:r>
        <w:rPr>
          <w:rFonts w:ascii="Arial" w:cs="Arial" w:hAnsi="Arial"/>
          <w:b/>
          <w:bCs/>
          <w:i/>
          <w:iCs/>
          <w:color w:val="ffffff" w:themeColor="lt1"/>
          <w:sz w:val="28"/>
          <w:szCs w:val="28"/>
          <w:u w:val="none"/>
          <w:lang w:val="en-GB"/>
        </w:rPr>
        <w:t>When booking please specify what content you require and also what age category will be partaking.</w:t>
      </w:r>
      <w:r>
        <w:rPr>
          <w:rFonts w:ascii="Arial" w:cs="Arial" w:hAnsi="Arial"/>
          <w:b/>
          <w:bCs/>
          <w:i/>
          <w:iCs/>
          <w:color w:val="ffffff" w:themeColor="lt1"/>
          <w:sz w:val="28"/>
          <w:szCs w:val="28"/>
          <w:u w:val="none"/>
          <w:lang w:val="en-GB"/>
        </w:rPr>
        <w:t xml:space="preserve"> </w:t>
      </w:r>
    </w:p>
    <w:sectPr>
      <w:footnotePr/>
      <w:type w:val="nextPage"/>
      <w:pgSz w:w="11906" w:h="16838" w:orient="portrait"/>
      <w:pgMar w:top="1440" w:right="1440" w:bottom="1440" w:left="1440" w:header="708" w:footer="708" w:gutter="0"/>
      <w:paperSrc w:first="1" w:other="1"/>
      <w:pgBorders w:display="allPages" w:offsetFrom="page" w:zOrder="front">
        <w:top w:val="single" w:color="auto" w:sz="2" w:space="24"/>
        <w:left w:val="single" w:color="auto" w:sz="2" w:space="24"/>
        <w:right w:val="single" w:color="auto" w:sz="2" w:space="24"/>
        <w:bottom w:val="single" w:color="auto" w:sz="2" w:space="24"/>
      </w:pgBorders>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Fort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cs="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cs="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cs="Courier New" w:hAnsi="Courier New"/>
      </w:rPr>
    </w:lvl>
    <w:lvl w:ilvl="8" w:tentative="1">
      <w:start w:val="1"/>
      <w:numFmt w:val="bullet"/>
      <w:isLgl w:val="off"/>
      <w:suff w:val="tab"/>
      <w:lvlText w:val=""/>
      <w:lvlJc w:val="left"/>
      <w:pPr>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en-GB" w:eastAsia="zh-CN" w:bidi="ar-SA"/>
  <w:clrSchemeMapping w:accent1="accent1" w:accent2="accent2" w:accent3="accent3" w:accent4="accent4" w:accent5="accent5" w:accent6="accent6" w:bg1="light1" w:bg2="light2" w:followedHyperlink="followedHyperlink" w:hyperlink="hyperlink" w:text1="dark1" w:text2="dark2"/>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numbering" Target="numbering.xml"/><Relationship Id="rId7" Type="http://schemas.openxmlformats.org/officeDocument/2006/relationships/image" Target="media/image1.jpeg"/></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Rheanna Newman</dc:creator>
  <cp:lastModifiedBy>Rheanna Newman</cp:lastModifiedBy>
</cp:coreProperties>
</file>